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5" w:type="dxa"/>
        <w:tblInd w:w="-545" w:type="dxa"/>
        <w:tblCellMar>
          <w:top w:w="109" w:type="dxa"/>
          <w:left w:w="74" w:type="dxa"/>
          <w:bottom w:w="0" w:type="dxa"/>
          <w:right w:w="29" w:type="dxa"/>
        </w:tblCellMar>
        <w:tblLook w:val="04A0" w:firstRow="1" w:lastRow="0" w:firstColumn="1" w:lastColumn="0" w:noHBand="0" w:noVBand="1"/>
      </w:tblPr>
      <w:tblGrid>
        <w:gridCol w:w="540"/>
        <w:gridCol w:w="1975"/>
        <w:gridCol w:w="322"/>
        <w:gridCol w:w="3452"/>
        <w:gridCol w:w="4316"/>
      </w:tblGrid>
      <w:tr w:rsidR="0084424A" w14:paraId="7E229456" w14:textId="77777777" w:rsidTr="001C13A2">
        <w:trPr>
          <w:trHeight w:val="1163"/>
        </w:trPr>
        <w:tc>
          <w:tcPr>
            <w:tcW w:w="2515" w:type="dxa"/>
            <w:gridSpan w:val="2"/>
            <w:tcBorders>
              <w:top w:val="single" w:sz="4" w:space="0" w:color="000000"/>
              <w:left w:val="single" w:sz="4" w:space="0" w:color="000000"/>
              <w:bottom w:val="single" w:sz="4" w:space="0" w:color="000000"/>
              <w:right w:val="single" w:sz="4" w:space="0" w:color="000000"/>
            </w:tcBorders>
          </w:tcPr>
          <w:p w14:paraId="39A0040D" w14:textId="77777777" w:rsidR="0084424A" w:rsidRDefault="001C13A2">
            <w:pPr>
              <w:tabs>
                <w:tab w:val="center" w:pos="1327"/>
              </w:tabs>
              <w:spacing w:after="0"/>
            </w:pPr>
            <w:r>
              <w:rPr>
                <w:sz w:val="20"/>
              </w:rPr>
              <w:t xml:space="preserve"> </w:t>
            </w:r>
            <w:r>
              <w:rPr>
                <w:sz w:val="20"/>
              </w:rPr>
              <w:tab/>
            </w:r>
            <w:r>
              <w:rPr>
                <w:noProof/>
              </w:rPr>
              <w:drawing>
                <wp:inline distT="0" distB="0" distL="0" distR="0" wp14:anchorId="52FC4445" wp14:editId="27C1534C">
                  <wp:extent cx="702260" cy="738505"/>
                  <wp:effectExtent l="0" t="0" r="3175" b="444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04884" cy="741265"/>
                          </a:xfrm>
                          <a:prstGeom prst="rect">
                            <a:avLst/>
                          </a:prstGeom>
                        </pic:spPr>
                      </pic:pic>
                    </a:graphicData>
                  </a:graphic>
                </wp:inline>
              </w:drawing>
            </w:r>
          </w:p>
        </w:tc>
        <w:tc>
          <w:tcPr>
            <w:tcW w:w="8090" w:type="dxa"/>
            <w:gridSpan w:val="3"/>
            <w:tcBorders>
              <w:top w:val="single" w:sz="4" w:space="0" w:color="000000"/>
              <w:left w:val="single" w:sz="4" w:space="0" w:color="000000"/>
              <w:bottom w:val="single" w:sz="4" w:space="0" w:color="000000"/>
              <w:right w:val="single" w:sz="4" w:space="0" w:color="000000"/>
            </w:tcBorders>
            <w:vAlign w:val="center"/>
          </w:tcPr>
          <w:p w14:paraId="4AC8383F" w14:textId="77777777" w:rsidR="0084424A" w:rsidRDefault="001C13A2">
            <w:pPr>
              <w:spacing w:after="0"/>
              <w:ind w:left="891" w:right="935" w:firstLine="120"/>
              <w:jc w:val="center"/>
            </w:pPr>
            <w:r>
              <w:rPr>
                <w:b/>
                <w:sz w:val="24"/>
              </w:rPr>
              <w:t xml:space="preserve">Urząd Gminy Niedrzwica Duża </w:t>
            </w:r>
            <w:r>
              <w:rPr>
                <w:sz w:val="24"/>
              </w:rPr>
              <w:t xml:space="preserve">24-220 Niedrzwica Duża, ul. Lubelska 30 tel. +48 (81) 5175085 / fax. +48 (81) 5175085 wew. 28 e-mail: </w:t>
            </w:r>
            <w:r>
              <w:rPr>
                <w:color w:val="0000FF"/>
                <w:sz w:val="24"/>
              </w:rPr>
              <w:t>info@niedrzwicaduza.pl</w:t>
            </w:r>
            <w:r>
              <w:rPr>
                <w:sz w:val="24"/>
              </w:rPr>
              <w:t>, www.niedrzwicaduza.pl</w:t>
            </w:r>
            <w:r>
              <w:rPr>
                <w:rFonts w:ascii="Times New Roman" w:eastAsia="Times New Roman" w:hAnsi="Times New Roman" w:cs="Times New Roman"/>
                <w:sz w:val="24"/>
              </w:rPr>
              <w:t xml:space="preserve"> </w:t>
            </w:r>
          </w:p>
        </w:tc>
      </w:tr>
      <w:tr w:rsidR="0084424A" w14:paraId="3A13520B" w14:textId="77777777" w:rsidTr="001C13A2">
        <w:trPr>
          <w:trHeight w:val="273"/>
        </w:trPr>
        <w:tc>
          <w:tcPr>
            <w:tcW w:w="2515" w:type="dxa"/>
            <w:gridSpan w:val="2"/>
            <w:tcBorders>
              <w:top w:val="single" w:sz="4" w:space="0" w:color="000000"/>
              <w:left w:val="single" w:sz="4" w:space="0" w:color="000000"/>
              <w:bottom w:val="single" w:sz="4" w:space="0" w:color="000000"/>
              <w:right w:val="single" w:sz="4" w:space="0" w:color="000000"/>
            </w:tcBorders>
          </w:tcPr>
          <w:p w14:paraId="0FA1A413" w14:textId="77777777" w:rsidR="0084424A" w:rsidRDefault="001C13A2" w:rsidP="00123477">
            <w:pPr>
              <w:spacing w:after="0" w:line="360" w:lineRule="auto"/>
              <w:ind w:right="40"/>
              <w:jc w:val="center"/>
            </w:pPr>
            <w:r>
              <w:rPr>
                <w:b/>
                <w:sz w:val="24"/>
              </w:rPr>
              <w:t>KI.FNII-18</w:t>
            </w:r>
            <w:r>
              <w:rPr>
                <w:sz w:val="24"/>
              </w:rPr>
              <w:t xml:space="preserve"> </w:t>
            </w:r>
          </w:p>
        </w:tc>
        <w:tc>
          <w:tcPr>
            <w:tcW w:w="809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720380E" w14:textId="77777777" w:rsidR="0084424A" w:rsidRDefault="001C13A2">
            <w:pPr>
              <w:spacing w:after="0"/>
              <w:ind w:right="48"/>
              <w:jc w:val="center"/>
            </w:pPr>
            <w:r>
              <w:rPr>
                <w:sz w:val="32"/>
              </w:rPr>
              <w:t xml:space="preserve">Karta informacyjna </w:t>
            </w:r>
          </w:p>
        </w:tc>
      </w:tr>
      <w:tr w:rsidR="0084424A" w14:paraId="21BF9D7E" w14:textId="77777777" w:rsidTr="00930039">
        <w:trPr>
          <w:trHeight w:val="557"/>
        </w:trPr>
        <w:tc>
          <w:tcPr>
            <w:tcW w:w="2515" w:type="dxa"/>
            <w:gridSpan w:val="2"/>
            <w:tcBorders>
              <w:top w:val="single" w:sz="4" w:space="0" w:color="000000"/>
              <w:left w:val="single" w:sz="4" w:space="0" w:color="000000"/>
              <w:bottom w:val="single" w:sz="4" w:space="0" w:color="000000"/>
              <w:right w:val="single" w:sz="4" w:space="0" w:color="000000"/>
            </w:tcBorders>
          </w:tcPr>
          <w:p w14:paraId="123F4B7D" w14:textId="743FD9FC" w:rsidR="0084424A" w:rsidRDefault="001C13A2" w:rsidP="001C13A2">
            <w:pPr>
              <w:tabs>
                <w:tab w:val="left" w:pos="1878"/>
              </w:tabs>
              <w:spacing w:after="0" w:line="240" w:lineRule="auto"/>
              <w:ind w:left="34" w:right="454"/>
              <w:jc w:val="center"/>
            </w:pPr>
            <w:r>
              <w:rPr>
                <w:sz w:val="24"/>
              </w:rPr>
              <w:t>Wersja nr 1</w:t>
            </w:r>
            <w:r w:rsidR="00D26430">
              <w:rPr>
                <w:sz w:val="24"/>
              </w:rPr>
              <w:t>6</w:t>
            </w:r>
            <w:r>
              <w:rPr>
                <w:sz w:val="24"/>
              </w:rPr>
              <w:t xml:space="preserve"> </w:t>
            </w:r>
            <w:r w:rsidR="00D26430">
              <w:rPr>
                <w:sz w:val="24"/>
              </w:rPr>
              <w:br/>
            </w:r>
            <w:r>
              <w:rPr>
                <w:sz w:val="24"/>
              </w:rPr>
              <w:t>z</w:t>
            </w:r>
            <w:r w:rsidR="00D26430">
              <w:rPr>
                <w:sz w:val="24"/>
              </w:rPr>
              <w:t xml:space="preserve"> </w:t>
            </w:r>
            <w:r>
              <w:rPr>
                <w:sz w:val="24"/>
              </w:rPr>
              <w:t xml:space="preserve">dnia </w:t>
            </w:r>
            <w:r w:rsidR="00D26430">
              <w:rPr>
                <w:sz w:val="24"/>
              </w:rPr>
              <w:t>02.01.2026</w:t>
            </w:r>
            <w:r>
              <w:rPr>
                <w:sz w:val="24"/>
              </w:rPr>
              <w:t xml:space="preserve"> </w:t>
            </w:r>
          </w:p>
        </w:tc>
        <w:tc>
          <w:tcPr>
            <w:tcW w:w="8090" w:type="dxa"/>
            <w:gridSpan w:val="3"/>
            <w:vMerge/>
            <w:tcBorders>
              <w:top w:val="nil"/>
              <w:left w:val="single" w:sz="4" w:space="0" w:color="000000"/>
              <w:bottom w:val="single" w:sz="4" w:space="0" w:color="000000"/>
              <w:right w:val="single" w:sz="4" w:space="0" w:color="000000"/>
            </w:tcBorders>
          </w:tcPr>
          <w:p w14:paraId="213FA592" w14:textId="77777777" w:rsidR="0084424A" w:rsidRDefault="0084424A"/>
        </w:tc>
      </w:tr>
      <w:tr w:rsidR="0084424A" w14:paraId="44473287" w14:textId="77777777" w:rsidTr="00123477">
        <w:trPr>
          <w:trHeight w:val="268"/>
        </w:trPr>
        <w:tc>
          <w:tcPr>
            <w:tcW w:w="10605" w:type="dxa"/>
            <w:gridSpan w:val="5"/>
            <w:tcBorders>
              <w:top w:val="single" w:sz="4" w:space="0" w:color="000000"/>
              <w:left w:val="single" w:sz="4" w:space="0" w:color="000000"/>
              <w:bottom w:val="single" w:sz="4" w:space="0" w:color="000000"/>
              <w:right w:val="single" w:sz="4" w:space="0" w:color="000000"/>
            </w:tcBorders>
          </w:tcPr>
          <w:p w14:paraId="4F09C13D" w14:textId="77777777" w:rsidR="0084424A" w:rsidRDefault="001C13A2">
            <w:pPr>
              <w:spacing w:after="0"/>
              <w:ind w:right="50"/>
              <w:jc w:val="center"/>
            </w:pPr>
            <w:r>
              <w:rPr>
                <w:b/>
              </w:rPr>
              <w:t>Zwrot podatku akcyzowego zawartego w cenie oleju napędowego wykorzystywanego do produkcji rolnej</w:t>
            </w:r>
            <w:r>
              <w:rPr>
                <w:sz w:val="24"/>
              </w:rPr>
              <w:t xml:space="preserve"> </w:t>
            </w:r>
          </w:p>
        </w:tc>
      </w:tr>
      <w:tr w:rsidR="0084424A" w14:paraId="1E74AC06" w14:textId="77777777" w:rsidTr="00C26BC3">
        <w:trPr>
          <w:trHeight w:val="1989"/>
        </w:trPr>
        <w:tc>
          <w:tcPr>
            <w:tcW w:w="540" w:type="dxa"/>
            <w:tcBorders>
              <w:top w:val="single" w:sz="4" w:space="0" w:color="000000"/>
              <w:left w:val="single" w:sz="4" w:space="0" w:color="000000"/>
              <w:bottom w:val="single" w:sz="4" w:space="0" w:color="000000"/>
              <w:right w:val="single" w:sz="4" w:space="0" w:color="000000"/>
            </w:tcBorders>
          </w:tcPr>
          <w:p w14:paraId="7A6A380F" w14:textId="77777777" w:rsidR="0084424A" w:rsidRDefault="001C13A2">
            <w:pPr>
              <w:spacing w:after="0"/>
              <w:ind w:left="2"/>
            </w:pPr>
            <w:r>
              <w:rPr>
                <w:b/>
                <w:sz w:val="20"/>
              </w:rPr>
              <w:t xml:space="preserve">I </w:t>
            </w:r>
          </w:p>
        </w:tc>
        <w:tc>
          <w:tcPr>
            <w:tcW w:w="10065" w:type="dxa"/>
            <w:gridSpan w:val="4"/>
            <w:tcBorders>
              <w:top w:val="single" w:sz="4" w:space="0" w:color="000000"/>
              <w:left w:val="single" w:sz="4" w:space="0" w:color="000000"/>
              <w:bottom w:val="single" w:sz="4" w:space="0" w:color="000000"/>
              <w:right w:val="single" w:sz="4" w:space="0" w:color="000000"/>
            </w:tcBorders>
            <w:vAlign w:val="center"/>
          </w:tcPr>
          <w:p w14:paraId="57F5A18A" w14:textId="77777777" w:rsidR="0084424A" w:rsidRDefault="001C13A2" w:rsidP="00123477">
            <w:pPr>
              <w:spacing w:after="0"/>
            </w:pPr>
            <w:r>
              <w:rPr>
                <w:b/>
                <w:sz w:val="20"/>
              </w:rPr>
              <w:t>Podstawa prawna</w:t>
            </w:r>
            <w:r>
              <w:rPr>
                <w:sz w:val="24"/>
              </w:rPr>
              <w:t xml:space="preserve"> </w:t>
            </w:r>
          </w:p>
          <w:p w14:paraId="05432259" w14:textId="77777777" w:rsidR="0084424A" w:rsidRDefault="001C13A2" w:rsidP="00D26430">
            <w:pPr>
              <w:numPr>
                <w:ilvl w:val="0"/>
                <w:numId w:val="1"/>
              </w:numPr>
              <w:spacing w:after="0" w:line="245" w:lineRule="auto"/>
              <w:ind w:left="301" w:hanging="283"/>
              <w:jc w:val="both"/>
            </w:pPr>
            <w:r>
              <w:rPr>
                <w:sz w:val="20"/>
              </w:rPr>
              <w:t xml:space="preserve">Ustawa z dnia 10 marca 2006 roku o zwrocie podatku akcyzowego zawartego w cenie oleju napędowego wykorzystywanego do produkcji rolnej (t. j. Dz. U. z 2023 r. poz. 1948 ze zm.), </w:t>
            </w:r>
            <w:r>
              <w:rPr>
                <w:sz w:val="24"/>
              </w:rPr>
              <w:t xml:space="preserve"> </w:t>
            </w:r>
          </w:p>
          <w:p w14:paraId="7B89636E" w14:textId="4A164790" w:rsidR="0084424A" w:rsidRDefault="001C13A2" w:rsidP="00D26430">
            <w:pPr>
              <w:numPr>
                <w:ilvl w:val="0"/>
                <w:numId w:val="1"/>
              </w:numPr>
              <w:spacing w:after="0" w:line="245" w:lineRule="auto"/>
              <w:ind w:left="301" w:hanging="283"/>
              <w:jc w:val="both"/>
            </w:pPr>
            <w:r>
              <w:rPr>
                <w:sz w:val="20"/>
              </w:rPr>
              <w:t xml:space="preserve">Rozporządzenie Rady Ministrów z dnia </w:t>
            </w:r>
            <w:r w:rsidR="00D26430">
              <w:rPr>
                <w:sz w:val="20"/>
              </w:rPr>
              <w:t>30 grudnia 2025</w:t>
            </w:r>
            <w:r>
              <w:rPr>
                <w:sz w:val="20"/>
              </w:rPr>
              <w:t xml:space="preserve"> r. w sprawie stawki zwrotu podatku akcyzowego zawartego w cenie oleju napędowego wykorzystywanego do produkcji rolnej na 1 litr oleju w 202</w:t>
            </w:r>
            <w:r w:rsidR="00D26430">
              <w:rPr>
                <w:sz w:val="20"/>
              </w:rPr>
              <w:t>6</w:t>
            </w:r>
            <w:r>
              <w:rPr>
                <w:sz w:val="20"/>
              </w:rPr>
              <w:t xml:space="preserve"> r.,</w:t>
            </w:r>
            <w:r>
              <w:rPr>
                <w:sz w:val="24"/>
              </w:rPr>
              <w:t xml:space="preserve"> </w:t>
            </w:r>
          </w:p>
          <w:p w14:paraId="60B86E84" w14:textId="77777777" w:rsidR="0084424A" w:rsidRDefault="001C13A2" w:rsidP="00D26430">
            <w:pPr>
              <w:numPr>
                <w:ilvl w:val="0"/>
                <w:numId w:val="1"/>
              </w:numPr>
              <w:spacing w:after="0"/>
              <w:ind w:left="301" w:hanging="283"/>
              <w:jc w:val="both"/>
            </w:pPr>
            <w:r>
              <w:rPr>
                <w:sz w:val="20"/>
              </w:rPr>
              <w:t>Rozporządzenie Ministra Rolnictwa i Rozwoju Wsi z dnia 20 grudnia 2018 r. w sprawie wzoru wniosku o zwrot podatku akcyzowego zawartego w cenie oleju napędowego wykorzystywanego do produkcji rolnej (Dz. U. z 2018 r., poz. 2466).</w:t>
            </w:r>
            <w:r>
              <w:rPr>
                <w:sz w:val="24"/>
              </w:rPr>
              <w:t xml:space="preserve"> </w:t>
            </w:r>
          </w:p>
        </w:tc>
      </w:tr>
      <w:tr w:rsidR="0084424A" w14:paraId="4B1CEDED" w14:textId="77777777" w:rsidTr="00930039">
        <w:trPr>
          <w:trHeight w:val="703"/>
        </w:trPr>
        <w:tc>
          <w:tcPr>
            <w:tcW w:w="540" w:type="dxa"/>
            <w:tcBorders>
              <w:top w:val="single" w:sz="4" w:space="0" w:color="000000"/>
              <w:left w:val="single" w:sz="4" w:space="0" w:color="000000"/>
              <w:bottom w:val="single" w:sz="4" w:space="0" w:color="000000"/>
              <w:right w:val="single" w:sz="4" w:space="0" w:color="000000"/>
            </w:tcBorders>
          </w:tcPr>
          <w:p w14:paraId="7CF8357F" w14:textId="77777777" w:rsidR="0084424A" w:rsidRDefault="001C13A2">
            <w:pPr>
              <w:spacing w:after="0"/>
              <w:ind w:left="2"/>
            </w:pPr>
            <w:r>
              <w:rPr>
                <w:b/>
                <w:sz w:val="20"/>
              </w:rPr>
              <w:t xml:space="preserve">II </w:t>
            </w:r>
          </w:p>
        </w:tc>
        <w:tc>
          <w:tcPr>
            <w:tcW w:w="10065" w:type="dxa"/>
            <w:gridSpan w:val="4"/>
            <w:tcBorders>
              <w:top w:val="single" w:sz="4" w:space="0" w:color="000000"/>
              <w:left w:val="single" w:sz="4" w:space="0" w:color="000000"/>
              <w:bottom w:val="single" w:sz="4" w:space="0" w:color="000000"/>
              <w:right w:val="single" w:sz="4" w:space="0" w:color="000000"/>
            </w:tcBorders>
            <w:vAlign w:val="center"/>
          </w:tcPr>
          <w:p w14:paraId="592948BD" w14:textId="77777777" w:rsidR="0084424A" w:rsidRDefault="001C13A2">
            <w:pPr>
              <w:spacing w:after="0"/>
            </w:pPr>
            <w:r>
              <w:rPr>
                <w:b/>
                <w:sz w:val="20"/>
              </w:rPr>
              <w:t>Komórka organizacyjna załatwiająca sprawę</w:t>
            </w:r>
            <w:r>
              <w:rPr>
                <w:sz w:val="24"/>
              </w:rPr>
              <w:t xml:space="preserve"> </w:t>
            </w:r>
          </w:p>
          <w:p w14:paraId="1FD86164" w14:textId="0F9D27EF" w:rsidR="0084424A" w:rsidRDefault="001C13A2" w:rsidP="00D26430">
            <w:pPr>
              <w:pStyle w:val="Akapitzlist"/>
              <w:numPr>
                <w:ilvl w:val="0"/>
                <w:numId w:val="6"/>
              </w:numPr>
              <w:tabs>
                <w:tab w:val="center" w:pos="253"/>
                <w:tab w:val="center" w:pos="3719"/>
              </w:tabs>
              <w:spacing w:after="0"/>
              <w:ind w:left="443" w:hanging="425"/>
            </w:pPr>
            <w:r w:rsidRPr="00D26430">
              <w:rPr>
                <w:sz w:val="20"/>
              </w:rPr>
              <w:t>Referat Podatków i Opłat Lokalnych,  pokój  nr 6a, tel.: 81 517 50 85 wew. 16.</w:t>
            </w:r>
            <w:r w:rsidRPr="00D26430">
              <w:rPr>
                <w:sz w:val="24"/>
              </w:rPr>
              <w:t xml:space="preserve"> </w:t>
            </w:r>
          </w:p>
        </w:tc>
      </w:tr>
      <w:tr w:rsidR="0084424A" w14:paraId="4A65236A" w14:textId="77777777" w:rsidTr="00930039">
        <w:trPr>
          <w:trHeight w:val="984"/>
        </w:trPr>
        <w:tc>
          <w:tcPr>
            <w:tcW w:w="540" w:type="dxa"/>
            <w:tcBorders>
              <w:top w:val="single" w:sz="4" w:space="0" w:color="000000"/>
              <w:left w:val="single" w:sz="4" w:space="0" w:color="000000"/>
              <w:bottom w:val="single" w:sz="4" w:space="0" w:color="000000"/>
              <w:right w:val="single" w:sz="4" w:space="0" w:color="000000"/>
            </w:tcBorders>
          </w:tcPr>
          <w:p w14:paraId="2FE08A92" w14:textId="77777777" w:rsidR="0084424A" w:rsidRDefault="001C13A2">
            <w:pPr>
              <w:spacing w:after="0"/>
              <w:ind w:left="2"/>
            </w:pPr>
            <w:r>
              <w:rPr>
                <w:b/>
                <w:sz w:val="20"/>
              </w:rPr>
              <w:t xml:space="preserve">III </w:t>
            </w:r>
          </w:p>
        </w:tc>
        <w:tc>
          <w:tcPr>
            <w:tcW w:w="10065" w:type="dxa"/>
            <w:gridSpan w:val="4"/>
            <w:tcBorders>
              <w:top w:val="single" w:sz="4" w:space="0" w:color="000000"/>
              <w:left w:val="single" w:sz="4" w:space="0" w:color="000000"/>
              <w:bottom w:val="single" w:sz="4" w:space="0" w:color="000000"/>
              <w:right w:val="single" w:sz="4" w:space="0" w:color="000000"/>
            </w:tcBorders>
            <w:vAlign w:val="center"/>
          </w:tcPr>
          <w:p w14:paraId="5430C4FA" w14:textId="77777777" w:rsidR="0084424A" w:rsidRDefault="001C13A2">
            <w:pPr>
              <w:spacing w:after="0"/>
            </w:pPr>
            <w:r>
              <w:rPr>
                <w:b/>
                <w:sz w:val="20"/>
              </w:rPr>
              <w:t>Wymagane dokumenty</w:t>
            </w:r>
            <w:r>
              <w:rPr>
                <w:sz w:val="24"/>
              </w:rPr>
              <w:t xml:space="preserve"> </w:t>
            </w:r>
          </w:p>
          <w:p w14:paraId="6E017EAA" w14:textId="3A229567" w:rsidR="0084424A" w:rsidRDefault="001C13A2" w:rsidP="00D26430">
            <w:pPr>
              <w:pStyle w:val="Akapitzlist"/>
              <w:numPr>
                <w:ilvl w:val="0"/>
                <w:numId w:val="6"/>
              </w:numPr>
              <w:spacing w:after="0"/>
              <w:ind w:left="301" w:hanging="283"/>
              <w:jc w:val="both"/>
            </w:pPr>
            <w:r w:rsidRPr="00D26430">
              <w:rPr>
                <w:sz w:val="20"/>
              </w:rPr>
              <w:t>Wniosek składany na ustalonym rozporządzeniem druku w terminie: od dnia 1 lutego do ostatniego dnia lutego, oraz od dnia 1 sierpnia do 31 sierpnia danego roku wraz z załącznikami.</w:t>
            </w:r>
            <w:r w:rsidRPr="00D26430">
              <w:rPr>
                <w:sz w:val="24"/>
              </w:rPr>
              <w:t xml:space="preserve"> </w:t>
            </w:r>
          </w:p>
        </w:tc>
      </w:tr>
      <w:tr w:rsidR="0084424A" w14:paraId="5454EF21" w14:textId="77777777" w:rsidTr="00C26BC3">
        <w:trPr>
          <w:trHeight w:val="1623"/>
        </w:trPr>
        <w:tc>
          <w:tcPr>
            <w:tcW w:w="540" w:type="dxa"/>
            <w:tcBorders>
              <w:top w:val="single" w:sz="4" w:space="0" w:color="000000"/>
              <w:left w:val="single" w:sz="4" w:space="0" w:color="000000"/>
              <w:bottom w:val="single" w:sz="4" w:space="0" w:color="000000"/>
              <w:right w:val="single" w:sz="4" w:space="0" w:color="000000"/>
            </w:tcBorders>
          </w:tcPr>
          <w:p w14:paraId="250C6377" w14:textId="77777777" w:rsidR="0084424A" w:rsidRDefault="001C13A2">
            <w:pPr>
              <w:spacing w:after="0"/>
              <w:ind w:left="2"/>
            </w:pPr>
            <w:r>
              <w:rPr>
                <w:b/>
                <w:sz w:val="20"/>
              </w:rPr>
              <w:t xml:space="preserve">IV </w:t>
            </w:r>
          </w:p>
        </w:tc>
        <w:tc>
          <w:tcPr>
            <w:tcW w:w="10065" w:type="dxa"/>
            <w:gridSpan w:val="4"/>
            <w:tcBorders>
              <w:top w:val="single" w:sz="4" w:space="0" w:color="000000"/>
              <w:left w:val="single" w:sz="4" w:space="0" w:color="000000"/>
              <w:bottom w:val="single" w:sz="4" w:space="0" w:color="000000"/>
              <w:right w:val="single" w:sz="4" w:space="0" w:color="000000"/>
            </w:tcBorders>
          </w:tcPr>
          <w:p w14:paraId="67508A6B" w14:textId="77777777" w:rsidR="0084424A" w:rsidRDefault="001C13A2">
            <w:pPr>
              <w:spacing w:after="0"/>
            </w:pPr>
            <w:r>
              <w:rPr>
                <w:b/>
                <w:sz w:val="20"/>
              </w:rPr>
              <w:t>Wymagane załączniki</w:t>
            </w:r>
            <w:r>
              <w:rPr>
                <w:sz w:val="24"/>
              </w:rPr>
              <w:t xml:space="preserve"> </w:t>
            </w:r>
          </w:p>
          <w:p w14:paraId="17DB21EF" w14:textId="77777777" w:rsidR="0084424A" w:rsidRDefault="001C13A2" w:rsidP="00D26430">
            <w:pPr>
              <w:numPr>
                <w:ilvl w:val="0"/>
                <w:numId w:val="2"/>
              </w:numPr>
              <w:spacing w:after="0" w:line="245" w:lineRule="auto"/>
              <w:ind w:left="301" w:right="36" w:hanging="283"/>
              <w:jc w:val="both"/>
            </w:pPr>
            <w:r>
              <w:rPr>
                <w:sz w:val="20"/>
              </w:rPr>
              <w:t>Faktury VAT albo ich kopie, stanowiące dowód zakupu oleju napędowego w okresie 6 miesięcy poprzedzających miesiąc złożenia wniosku,</w:t>
            </w:r>
            <w:r>
              <w:rPr>
                <w:sz w:val="24"/>
              </w:rPr>
              <w:t xml:space="preserve"> </w:t>
            </w:r>
          </w:p>
          <w:p w14:paraId="4CB1995A" w14:textId="77777777" w:rsidR="0084424A" w:rsidRDefault="001C13A2" w:rsidP="00D26430">
            <w:pPr>
              <w:numPr>
                <w:ilvl w:val="0"/>
                <w:numId w:val="2"/>
              </w:numPr>
              <w:spacing w:after="0"/>
              <w:ind w:left="301" w:right="36" w:hanging="283"/>
              <w:jc w:val="both"/>
            </w:pPr>
            <w:r>
              <w:rPr>
                <w:sz w:val="20"/>
              </w:rPr>
              <w:t>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w:t>
            </w:r>
            <w:r>
              <w:rPr>
                <w:sz w:val="24"/>
              </w:rPr>
              <w:t xml:space="preserve"> </w:t>
            </w:r>
          </w:p>
        </w:tc>
      </w:tr>
      <w:tr w:rsidR="0084424A" w14:paraId="70351A41" w14:textId="77777777" w:rsidTr="00123477">
        <w:trPr>
          <w:trHeight w:val="819"/>
        </w:trPr>
        <w:tc>
          <w:tcPr>
            <w:tcW w:w="540" w:type="dxa"/>
            <w:tcBorders>
              <w:top w:val="single" w:sz="4" w:space="0" w:color="000000"/>
              <w:left w:val="single" w:sz="4" w:space="0" w:color="000000"/>
              <w:bottom w:val="single" w:sz="4" w:space="0" w:color="000000"/>
              <w:right w:val="single" w:sz="4" w:space="0" w:color="000000"/>
            </w:tcBorders>
          </w:tcPr>
          <w:p w14:paraId="5966B23C" w14:textId="77777777" w:rsidR="0084424A" w:rsidRDefault="001C13A2">
            <w:pPr>
              <w:spacing w:after="0"/>
              <w:ind w:left="2"/>
            </w:pPr>
            <w:r>
              <w:rPr>
                <w:b/>
                <w:sz w:val="20"/>
              </w:rPr>
              <w:t xml:space="preserve">V </w:t>
            </w:r>
          </w:p>
        </w:tc>
        <w:tc>
          <w:tcPr>
            <w:tcW w:w="10065" w:type="dxa"/>
            <w:gridSpan w:val="4"/>
            <w:tcBorders>
              <w:top w:val="single" w:sz="4" w:space="0" w:color="000000"/>
              <w:left w:val="single" w:sz="4" w:space="0" w:color="000000"/>
              <w:bottom w:val="single" w:sz="4" w:space="0" w:color="000000"/>
              <w:right w:val="single" w:sz="4" w:space="0" w:color="000000"/>
            </w:tcBorders>
          </w:tcPr>
          <w:p w14:paraId="53D07B31" w14:textId="77777777" w:rsidR="0084424A" w:rsidRDefault="001C13A2">
            <w:pPr>
              <w:spacing w:after="0"/>
            </w:pPr>
            <w:r>
              <w:rPr>
                <w:b/>
                <w:sz w:val="20"/>
              </w:rPr>
              <w:t>Dokumenty do wglądu</w:t>
            </w:r>
            <w:r>
              <w:rPr>
                <w:sz w:val="24"/>
              </w:rPr>
              <w:t xml:space="preserve"> </w:t>
            </w:r>
          </w:p>
          <w:p w14:paraId="0012E703" w14:textId="4CD64C92" w:rsidR="0084424A" w:rsidRDefault="001C13A2" w:rsidP="00D26430">
            <w:pPr>
              <w:pStyle w:val="Akapitzlist"/>
              <w:numPr>
                <w:ilvl w:val="0"/>
                <w:numId w:val="6"/>
              </w:numPr>
              <w:spacing w:after="0"/>
              <w:ind w:left="301" w:hanging="283"/>
            </w:pPr>
            <w:r w:rsidRPr="00D26430">
              <w:rPr>
                <w:sz w:val="20"/>
              </w:rPr>
              <w:t>Aktualne umowy dzierżawy gruntów, zawierające poprawne dane dotyczące właściciela/właścicieli  gruntów, numeru działki/działek oraz ich powierzchni.</w:t>
            </w:r>
            <w:r w:rsidRPr="00D26430">
              <w:rPr>
                <w:sz w:val="24"/>
              </w:rPr>
              <w:t xml:space="preserve"> </w:t>
            </w:r>
          </w:p>
        </w:tc>
      </w:tr>
      <w:tr w:rsidR="0084424A" w14:paraId="7CD68EE7" w14:textId="77777777" w:rsidTr="00930039">
        <w:trPr>
          <w:trHeight w:val="1479"/>
        </w:trPr>
        <w:tc>
          <w:tcPr>
            <w:tcW w:w="540" w:type="dxa"/>
            <w:tcBorders>
              <w:top w:val="single" w:sz="4" w:space="0" w:color="000000"/>
              <w:left w:val="single" w:sz="4" w:space="0" w:color="000000"/>
              <w:bottom w:val="single" w:sz="4" w:space="0" w:color="000000"/>
              <w:right w:val="single" w:sz="4" w:space="0" w:color="000000"/>
            </w:tcBorders>
          </w:tcPr>
          <w:p w14:paraId="403D2A59" w14:textId="77777777" w:rsidR="0084424A" w:rsidRDefault="001C13A2">
            <w:pPr>
              <w:spacing w:after="0"/>
              <w:ind w:left="2"/>
            </w:pPr>
            <w:r>
              <w:rPr>
                <w:b/>
                <w:sz w:val="20"/>
              </w:rPr>
              <w:t xml:space="preserve">VI </w:t>
            </w:r>
          </w:p>
        </w:tc>
        <w:tc>
          <w:tcPr>
            <w:tcW w:w="10065" w:type="dxa"/>
            <w:gridSpan w:val="4"/>
            <w:tcBorders>
              <w:top w:val="single" w:sz="4" w:space="0" w:color="000000"/>
              <w:left w:val="single" w:sz="4" w:space="0" w:color="000000"/>
              <w:bottom w:val="single" w:sz="4" w:space="0" w:color="000000"/>
              <w:right w:val="single" w:sz="4" w:space="0" w:color="000000"/>
            </w:tcBorders>
            <w:vAlign w:val="center"/>
          </w:tcPr>
          <w:p w14:paraId="058E6DD4" w14:textId="77777777" w:rsidR="0084424A" w:rsidRDefault="001C13A2">
            <w:pPr>
              <w:spacing w:after="0"/>
            </w:pPr>
            <w:r>
              <w:rPr>
                <w:b/>
                <w:sz w:val="20"/>
              </w:rPr>
              <w:t>Termin załatwienia sprawy</w:t>
            </w:r>
            <w:r>
              <w:rPr>
                <w:sz w:val="24"/>
              </w:rPr>
              <w:t xml:space="preserve"> </w:t>
            </w:r>
          </w:p>
          <w:p w14:paraId="44181B28" w14:textId="77777777" w:rsidR="0084424A" w:rsidRDefault="001C13A2" w:rsidP="00D26430">
            <w:pPr>
              <w:numPr>
                <w:ilvl w:val="0"/>
                <w:numId w:val="3"/>
              </w:numPr>
              <w:spacing w:after="0"/>
              <w:ind w:left="301" w:hanging="283"/>
            </w:pPr>
            <w:r>
              <w:rPr>
                <w:sz w:val="20"/>
              </w:rPr>
              <w:t>Wydanie decyzji w terminie 30 dni od daty złożenia wniosku.</w:t>
            </w:r>
            <w:r>
              <w:rPr>
                <w:sz w:val="24"/>
              </w:rPr>
              <w:t xml:space="preserve"> </w:t>
            </w:r>
          </w:p>
          <w:p w14:paraId="6BD6AFC3" w14:textId="77777777" w:rsidR="0084424A" w:rsidRDefault="001C13A2" w:rsidP="00D26430">
            <w:pPr>
              <w:numPr>
                <w:ilvl w:val="0"/>
                <w:numId w:val="3"/>
              </w:numPr>
              <w:spacing w:after="0"/>
              <w:ind w:left="301" w:hanging="283"/>
            </w:pPr>
            <w:r>
              <w:rPr>
                <w:sz w:val="20"/>
              </w:rPr>
              <w:t xml:space="preserve">Wypłata zwrotu podatku na podstawie decyzji w terminach: </w:t>
            </w:r>
          </w:p>
          <w:p w14:paraId="2621AAB3" w14:textId="77777777" w:rsidR="0084424A" w:rsidRDefault="001C13A2">
            <w:pPr>
              <w:numPr>
                <w:ilvl w:val="1"/>
                <w:numId w:val="3"/>
              </w:numPr>
              <w:spacing w:after="13"/>
              <w:ind w:left="608" w:hanging="106"/>
            </w:pPr>
            <w:r>
              <w:rPr>
                <w:sz w:val="20"/>
              </w:rPr>
              <w:t>od 1 kwietnia</w:t>
            </w:r>
            <w:r>
              <w:rPr>
                <w:color w:val="FF0000"/>
                <w:sz w:val="20"/>
              </w:rPr>
              <w:t xml:space="preserve"> </w:t>
            </w:r>
            <w:r>
              <w:rPr>
                <w:sz w:val="20"/>
              </w:rPr>
              <w:t xml:space="preserve"> do 30 kwietnia – dla wniosków składanych w lutym, </w:t>
            </w:r>
          </w:p>
          <w:p w14:paraId="749E6D5D" w14:textId="77777777" w:rsidR="0084424A" w:rsidRDefault="001C13A2">
            <w:pPr>
              <w:numPr>
                <w:ilvl w:val="1"/>
                <w:numId w:val="3"/>
              </w:numPr>
              <w:spacing w:after="0"/>
              <w:ind w:left="608" w:hanging="106"/>
            </w:pPr>
            <w:r>
              <w:rPr>
                <w:sz w:val="20"/>
              </w:rPr>
              <w:t>od 1 października do 31 października – dla wniosków składanych w sierpniu.</w:t>
            </w:r>
            <w:r>
              <w:rPr>
                <w:sz w:val="24"/>
              </w:rPr>
              <w:t xml:space="preserve"> </w:t>
            </w:r>
          </w:p>
        </w:tc>
      </w:tr>
      <w:tr w:rsidR="0084424A" w14:paraId="07070437" w14:textId="77777777" w:rsidTr="00123477">
        <w:trPr>
          <w:trHeight w:val="558"/>
        </w:trPr>
        <w:tc>
          <w:tcPr>
            <w:tcW w:w="540" w:type="dxa"/>
            <w:tcBorders>
              <w:top w:val="single" w:sz="4" w:space="0" w:color="000000"/>
              <w:left w:val="single" w:sz="4" w:space="0" w:color="000000"/>
              <w:bottom w:val="single" w:sz="4" w:space="0" w:color="000000"/>
              <w:right w:val="single" w:sz="4" w:space="0" w:color="000000"/>
            </w:tcBorders>
          </w:tcPr>
          <w:p w14:paraId="4E353984" w14:textId="77777777" w:rsidR="0084424A" w:rsidRDefault="001C13A2">
            <w:pPr>
              <w:spacing w:after="0"/>
              <w:ind w:left="2"/>
            </w:pPr>
            <w:r>
              <w:rPr>
                <w:b/>
                <w:sz w:val="20"/>
              </w:rPr>
              <w:t xml:space="preserve">VII </w:t>
            </w:r>
          </w:p>
        </w:tc>
        <w:tc>
          <w:tcPr>
            <w:tcW w:w="10065" w:type="dxa"/>
            <w:gridSpan w:val="4"/>
            <w:tcBorders>
              <w:top w:val="single" w:sz="4" w:space="0" w:color="000000"/>
              <w:left w:val="single" w:sz="4" w:space="0" w:color="000000"/>
              <w:bottom w:val="single" w:sz="4" w:space="0" w:color="000000"/>
              <w:right w:val="single" w:sz="4" w:space="0" w:color="000000"/>
            </w:tcBorders>
          </w:tcPr>
          <w:p w14:paraId="010DF928" w14:textId="77777777" w:rsidR="00D26430" w:rsidRDefault="001C13A2">
            <w:pPr>
              <w:spacing w:after="0"/>
              <w:ind w:left="216" w:right="8371" w:hanging="216"/>
              <w:rPr>
                <w:b/>
                <w:sz w:val="20"/>
              </w:rPr>
            </w:pPr>
            <w:r>
              <w:rPr>
                <w:b/>
                <w:sz w:val="20"/>
              </w:rPr>
              <w:t>Opłaty</w:t>
            </w:r>
          </w:p>
          <w:p w14:paraId="6AEC51B2" w14:textId="06D05307" w:rsidR="0084424A" w:rsidRDefault="001C13A2" w:rsidP="00D26430">
            <w:pPr>
              <w:pStyle w:val="Akapitzlist"/>
              <w:numPr>
                <w:ilvl w:val="0"/>
                <w:numId w:val="6"/>
              </w:numPr>
              <w:spacing w:after="0"/>
              <w:ind w:left="278" w:right="8371" w:hanging="283"/>
            </w:pPr>
            <w:r w:rsidRPr="00D26430">
              <w:rPr>
                <w:sz w:val="20"/>
              </w:rPr>
              <w:t>Brak</w:t>
            </w:r>
            <w:r w:rsidRPr="00D26430">
              <w:rPr>
                <w:sz w:val="24"/>
              </w:rPr>
              <w:t xml:space="preserve"> </w:t>
            </w:r>
          </w:p>
        </w:tc>
      </w:tr>
      <w:tr w:rsidR="0084424A" w14:paraId="3E4E3DB5" w14:textId="77777777" w:rsidTr="00930039">
        <w:trPr>
          <w:trHeight w:val="967"/>
        </w:trPr>
        <w:tc>
          <w:tcPr>
            <w:tcW w:w="540" w:type="dxa"/>
            <w:tcBorders>
              <w:top w:val="single" w:sz="4" w:space="0" w:color="000000"/>
              <w:left w:val="single" w:sz="4" w:space="0" w:color="000000"/>
              <w:bottom w:val="single" w:sz="4" w:space="0" w:color="000000"/>
              <w:right w:val="single" w:sz="4" w:space="0" w:color="000000"/>
            </w:tcBorders>
          </w:tcPr>
          <w:p w14:paraId="333970D9" w14:textId="77777777" w:rsidR="0084424A" w:rsidRDefault="001C13A2">
            <w:pPr>
              <w:spacing w:after="0"/>
              <w:ind w:left="2"/>
            </w:pPr>
            <w:r>
              <w:rPr>
                <w:b/>
                <w:sz w:val="20"/>
              </w:rPr>
              <w:t xml:space="preserve">VIII </w:t>
            </w:r>
          </w:p>
        </w:tc>
        <w:tc>
          <w:tcPr>
            <w:tcW w:w="10065" w:type="dxa"/>
            <w:gridSpan w:val="4"/>
            <w:tcBorders>
              <w:top w:val="single" w:sz="4" w:space="0" w:color="000000"/>
              <w:left w:val="single" w:sz="4" w:space="0" w:color="000000"/>
              <w:bottom w:val="single" w:sz="4" w:space="0" w:color="000000"/>
              <w:right w:val="single" w:sz="4" w:space="0" w:color="000000"/>
            </w:tcBorders>
            <w:vAlign w:val="center"/>
          </w:tcPr>
          <w:p w14:paraId="3DAAF785" w14:textId="77777777" w:rsidR="0084424A" w:rsidRDefault="001C13A2">
            <w:pPr>
              <w:spacing w:after="0"/>
            </w:pPr>
            <w:r>
              <w:rPr>
                <w:b/>
                <w:sz w:val="20"/>
              </w:rPr>
              <w:t>Tryb odwołania</w:t>
            </w:r>
            <w:r>
              <w:rPr>
                <w:sz w:val="24"/>
              </w:rPr>
              <w:t xml:space="preserve"> </w:t>
            </w:r>
          </w:p>
          <w:p w14:paraId="62E6761E" w14:textId="3F7D4433" w:rsidR="0084424A" w:rsidRDefault="001C13A2" w:rsidP="00930039">
            <w:pPr>
              <w:pStyle w:val="Akapitzlist"/>
              <w:numPr>
                <w:ilvl w:val="0"/>
                <w:numId w:val="6"/>
              </w:numPr>
              <w:spacing w:after="0"/>
              <w:ind w:left="278" w:hanging="567"/>
              <w:jc w:val="both"/>
            </w:pPr>
            <w:r w:rsidRPr="00D26430">
              <w:rPr>
                <w:sz w:val="20"/>
              </w:rPr>
              <w:t>Odwołanie wnosi się do Samorządowego Kolegium Odwoławczego w Lublinie za pośrednictwem Wójta Gminy Niedrzwica Duża w terminie do 14 dni od dnia otrzymania decyzji.</w:t>
            </w:r>
            <w:r w:rsidRPr="00D26430">
              <w:rPr>
                <w:rFonts w:ascii="Times New Roman" w:eastAsia="Times New Roman" w:hAnsi="Times New Roman" w:cs="Times New Roman"/>
                <w:sz w:val="24"/>
              </w:rPr>
              <w:t xml:space="preserve"> </w:t>
            </w:r>
          </w:p>
        </w:tc>
      </w:tr>
      <w:tr w:rsidR="0084424A" w14:paraId="0170CFEA" w14:textId="77777777" w:rsidTr="00930039">
        <w:trPr>
          <w:trHeight w:val="1616"/>
        </w:trPr>
        <w:tc>
          <w:tcPr>
            <w:tcW w:w="540" w:type="dxa"/>
            <w:tcBorders>
              <w:top w:val="single" w:sz="4" w:space="0" w:color="000000"/>
              <w:left w:val="single" w:sz="4" w:space="0" w:color="000000"/>
              <w:bottom w:val="single" w:sz="4" w:space="0" w:color="000000"/>
              <w:right w:val="single" w:sz="4" w:space="0" w:color="000000"/>
            </w:tcBorders>
          </w:tcPr>
          <w:p w14:paraId="5AA2164E" w14:textId="77777777" w:rsidR="0084424A" w:rsidRDefault="001C13A2">
            <w:pPr>
              <w:spacing w:after="0"/>
              <w:ind w:left="2"/>
            </w:pPr>
            <w:r>
              <w:rPr>
                <w:b/>
                <w:sz w:val="20"/>
              </w:rPr>
              <w:t xml:space="preserve">IX </w:t>
            </w:r>
          </w:p>
        </w:tc>
        <w:tc>
          <w:tcPr>
            <w:tcW w:w="10065" w:type="dxa"/>
            <w:gridSpan w:val="4"/>
            <w:tcBorders>
              <w:top w:val="single" w:sz="4" w:space="0" w:color="000000"/>
              <w:left w:val="single" w:sz="4" w:space="0" w:color="000000"/>
              <w:bottom w:val="single" w:sz="4" w:space="0" w:color="000000"/>
              <w:right w:val="single" w:sz="4" w:space="0" w:color="000000"/>
            </w:tcBorders>
          </w:tcPr>
          <w:p w14:paraId="173E881A" w14:textId="77777777" w:rsidR="0084424A" w:rsidRDefault="001C13A2">
            <w:pPr>
              <w:spacing w:after="0"/>
            </w:pPr>
            <w:r>
              <w:rPr>
                <w:b/>
                <w:sz w:val="20"/>
              </w:rPr>
              <w:t xml:space="preserve">Uwagi </w:t>
            </w:r>
          </w:p>
          <w:p w14:paraId="54F81826" w14:textId="77777777" w:rsidR="0084424A" w:rsidRDefault="001C13A2" w:rsidP="00123477">
            <w:pPr>
              <w:numPr>
                <w:ilvl w:val="0"/>
                <w:numId w:val="4"/>
              </w:numPr>
              <w:spacing w:after="0"/>
              <w:ind w:left="357" w:hanging="284"/>
            </w:pPr>
            <w:r>
              <w:rPr>
                <w:sz w:val="20"/>
              </w:rPr>
              <w:t>limit paliwa 11</w:t>
            </w:r>
            <w:r>
              <w:rPr>
                <w:sz w:val="20"/>
              </w:rPr>
              <w:t xml:space="preserve">0 litrów  na 1 ha użytków rolnych, </w:t>
            </w:r>
          </w:p>
          <w:p w14:paraId="4CC34751" w14:textId="77777777" w:rsidR="0084424A" w:rsidRDefault="001C13A2" w:rsidP="00123477">
            <w:pPr>
              <w:numPr>
                <w:ilvl w:val="0"/>
                <w:numId w:val="4"/>
              </w:numPr>
              <w:spacing w:after="0"/>
              <w:ind w:left="357" w:hanging="284"/>
            </w:pPr>
            <w:r>
              <w:rPr>
                <w:sz w:val="20"/>
              </w:rPr>
              <w:t xml:space="preserve">dla posiadaczy bydła, owiec, kóz, koni – 40 litrów oleju napędowego na jedną DJP </w:t>
            </w:r>
          </w:p>
          <w:p w14:paraId="7A93BC46" w14:textId="77777777" w:rsidR="0084424A" w:rsidRDefault="001C13A2" w:rsidP="00123477">
            <w:pPr>
              <w:numPr>
                <w:ilvl w:val="0"/>
                <w:numId w:val="4"/>
              </w:numPr>
              <w:spacing w:after="0"/>
              <w:ind w:left="357" w:hanging="284"/>
            </w:pPr>
            <w:r>
              <w:rPr>
                <w:sz w:val="20"/>
              </w:rPr>
              <w:t xml:space="preserve">dla posiadaczy świń – 4 litry oleju napędowego na jedną sztukę </w:t>
            </w:r>
          </w:p>
          <w:p w14:paraId="10AABF12" w14:textId="77777777" w:rsidR="0084424A" w:rsidRDefault="001C13A2" w:rsidP="00123477">
            <w:pPr>
              <w:numPr>
                <w:ilvl w:val="0"/>
                <w:numId w:val="4"/>
              </w:numPr>
              <w:spacing w:after="0"/>
              <w:ind w:left="357" w:hanging="284"/>
            </w:pPr>
            <w:r>
              <w:rPr>
                <w:sz w:val="20"/>
              </w:rPr>
              <w:t>Zwrot podatku akcyzowego przysługuje od paliw oznaczonych kodem od CN 2710 19 43 do 2710 19 48, kodem od CN 2710 20 11 do CN 2710 20 19 oraz kodem CN 3826 00.</w:t>
            </w:r>
            <w:r>
              <w:rPr>
                <w:rFonts w:ascii="Times New Roman" w:eastAsia="Times New Roman" w:hAnsi="Times New Roman" w:cs="Times New Roman"/>
                <w:sz w:val="24"/>
              </w:rPr>
              <w:t xml:space="preserve"> </w:t>
            </w:r>
          </w:p>
        </w:tc>
      </w:tr>
      <w:tr w:rsidR="0084424A" w14:paraId="26FB9F6F" w14:textId="77777777" w:rsidTr="00123477">
        <w:trPr>
          <w:trHeight w:val="455"/>
        </w:trPr>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FE4E43A" w14:textId="7FEE3533" w:rsidR="0084424A" w:rsidRPr="001C13A2" w:rsidRDefault="001C13A2">
            <w:pPr>
              <w:spacing w:after="0"/>
              <w:ind w:right="43"/>
              <w:jc w:val="center"/>
              <w:rPr>
                <w:szCs w:val="28"/>
              </w:rPr>
            </w:pPr>
            <w:r w:rsidRPr="001C13A2">
              <w:rPr>
                <w:szCs w:val="28"/>
              </w:rPr>
              <w:t xml:space="preserve">Opracował: Dorota </w:t>
            </w:r>
            <w:proofErr w:type="spellStart"/>
            <w:r w:rsidRPr="001C13A2">
              <w:rPr>
                <w:szCs w:val="28"/>
              </w:rPr>
              <w:t>Pyc</w:t>
            </w:r>
            <w:proofErr w:type="spellEnd"/>
          </w:p>
          <w:p w14:paraId="082526CD" w14:textId="7AA6354C" w:rsidR="0084424A" w:rsidRPr="001C13A2" w:rsidRDefault="001C13A2" w:rsidP="00123477">
            <w:pPr>
              <w:spacing w:after="0"/>
              <w:jc w:val="center"/>
              <w:rPr>
                <w:szCs w:val="28"/>
              </w:rPr>
            </w:pPr>
            <w:r w:rsidRPr="001C13A2">
              <w:rPr>
                <w:szCs w:val="28"/>
              </w:rPr>
              <w:t xml:space="preserve"> </w:t>
            </w:r>
            <w:r w:rsidRPr="001C13A2">
              <w:rPr>
                <w:szCs w:val="28"/>
              </w:rPr>
              <w:t xml:space="preserve">Aktualizacja: Sylwia </w:t>
            </w:r>
            <w:proofErr w:type="spellStart"/>
            <w:r w:rsidRPr="001C13A2">
              <w:rPr>
                <w:szCs w:val="28"/>
              </w:rPr>
              <w:t>Obydź</w:t>
            </w:r>
            <w:proofErr w:type="spellEnd"/>
            <w:r w:rsidRPr="001C13A2">
              <w:rPr>
                <w:szCs w:val="28"/>
              </w:rPr>
              <w:t xml:space="preserve"> </w:t>
            </w:r>
          </w:p>
        </w:tc>
        <w:tc>
          <w:tcPr>
            <w:tcW w:w="3452" w:type="dxa"/>
            <w:tcBorders>
              <w:top w:val="single" w:sz="4" w:space="0" w:color="000000"/>
              <w:left w:val="single" w:sz="4" w:space="0" w:color="000000"/>
              <w:bottom w:val="single" w:sz="4" w:space="0" w:color="000000"/>
              <w:right w:val="single" w:sz="4" w:space="0" w:color="000000"/>
            </w:tcBorders>
            <w:vAlign w:val="center"/>
          </w:tcPr>
          <w:p w14:paraId="144E3934" w14:textId="77777777" w:rsidR="0084424A" w:rsidRPr="001C13A2" w:rsidRDefault="001C13A2">
            <w:pPr>
              <w:spacing w:after="21"/>
              <w:ind w:right="44"/>
              <w:jc w:val="center"/>
              <w:rPr>
                <w:szCs w:val="28"/>
              </w:rPr>
            </w:pPr>
            <w:r w:rsidRPr="001C13A2">
              <w:rPr>
                <w:szCs w:val="28"/>
              </w:rPr>
              <w:t>S</w:t>
            </w:r>
            <w:r w:rsidRPr="001C13A2">
              <w:rPr>
                <w:szCs w:val="28"/>
              </w:rPr>
              <w:t xml:space="preserve">prawdził </w:t>
            </w:r>
          </w:p>
          <w:p w14:paraId="349550C3" w14:textId="77777777" w:rsidR="0084424A" w:rsidRPr="001C13A2" w:rsidRDefault="001C13A2">
            <w:pPr>
              <w:spacing w:after="0"/>
              <w:ind w:right="46"/>
              <w:jc w:val="center"/>
              <w:rPr>
                <w:szCs w:val="28"/>
              </w:rPr>
            </w:pPr>
            <w:r w:rsidRPr="001C13A2">
              <w:rPr>
                <w:szCs w:val="28"/>
              </w:rPr>
              <w:t xml:space="preserve">Marta Wojtal </w:t>
            </w:r>
          </w:p>
        </w:tc>
        <w:tc>
          <w:tcPr>
            <w:tcW w:w="4316" w:type="dxa"/>
            <w:tcBorders>
              <w:top w:val="single" w:sz="4" w:space="0" w:color="000000"/>
              <w:left w:val="single" w:sz="4" w:space="0" w:color="000000"/>
              <w:bottom w:val="single" w:sz="4" w:space="0" w:color="000000"/>
              <w:right w:val="single" w:sz="4" w:space="0" w:color="000000"/>
            </w:tcBorders>
          </w:tcPr>
          <w:p w14:paraId="5F481351" w14:textId="77777777" w:rsidR="0084424A" w:rsidRPr="001C13A2" w:rsidRDefault="001C13A2">
            <w:pPr>
              <w:spacing w:after="21"/>
              <w:ind w:right="52"/>
              <w:jc w:val="center"/>
              <w:rPr>
                <w:szCs w:val="28"/>
              </w:rPr>
            </w:pPr>
            <w:r w:rsidRPr="001C13A2">
              <w:rPr>
                <w:szCs w:val="28"/>
              </w:rPr>
              <w:t xml:space="preserve">Zatwierdził </w:t>
            </w:r>
          </w:p>
          <w:p w14:paraId="5E8171E7" w14:textId="77777777" w:rsidR="0084424A" w:rsidRPr="001C13A2" w:rsidRDefault="001C13A2">
            <w:pPr>
              <w:spacing w:after="0"/>
              <w:ind w:right="44"/>
              <w:jc w:val="center"/>
              <w:rPr>
                <w:szCs w:val="28"/>
              </w:rPr>
            </w:pPr>
            <w:r w:rsidRPr="001C13A2">
              <w:rPr>
                <w:szCs w:val="28"/>
              </w:rPr>
              <w:t>Bartosz Dąbrowski</w:t>
            </w:r>
            <w:r w:rsidRPr="001C13A2">
              <w:rPr>
                <w:szCs w:val="28"/>
              </w:rPr>
              <w:t xml:space="preserve"> </w:t>
            </w:r>
          </w:p>
        </w:tc>
      </w:tr>
    </w:tbl>
    <w:p w14:paraId="1E202A1C" w14:textId="2CBA3E21" w:rsidR="0084424A" w:rsidRDefault="0084424A" w:rsidP="00123477">
      <w:pPr>
        <w:spacing w:after="0"/>
      </w:pPr>
    </w:p>
    <w:sectPr w:rsidR="0084424A">
      <w:pgSz w:w="11906" w:h="16838"/>
      <w:pgMar w:top="288" w:right="855" w:bottom="31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E21"/>
    <w:multiLevelType w:val="hybridMultilevel"/>
    <w:tmpl w:val="B2B0B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6B6857"/>
    <w:multiLevelType w:val="hybridMultilevel"/>
    <w:tmpl w:val="45ECEFD8"/>
    <w:lvl w:ilvl="0" w:tplc="E54414CA">
      <w:start w:val="1"/>
      <w:numFmt w:val="bullet"/>
      <w:lvlText w:val="•"/>
      <w:lvlJc w:val="left"/>
      <w:pPr>
        <w:ind w:left="5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D4D636">
      <w:start w:val="1"/>
      <w:numFmt w:val="bullet"/>
      <w:lvlText w:val="o"/>
      <w:lvlJc w:val="left"/>
      <w:pPr>
        <w:ind w:left="13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9AC8092">
      <w:start w:val="1"/>
      <w:numFmt w:val="bullet"/>
      <w:lvlText w:val="▪"/>
      <w:lvlJc w:val="left"/>
      <w:pPr>
        <w:ind w:left="20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33EA32E">
      <w:start w:val="1"/>
      <w:numFmt w:val="bullet"/>
      <w:lvlText w:val="•"/>
      <w:lvlJc w:val="left"/>
      <w:pPr>
        <w:ind w:left="28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C49602">
      <w:start w:val="1"/>
      <w:numFmt w:val="bullet"/>
      <w:lvlText w:val="o"/>
      <w:lvlJc w:val="left"/>
      <w:pPr>
        <w:ind w:left="35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3BA9042">
      <w:start w:val="1"/>
      <w:numFmt w:val="bullet"/>
      <w:lvlText w:val="▪"/>
      <w:lvlJc w:val="left"/>
      <w:pPr>
        <w:ind w:left="42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CCFC98">
      <w:start w:val="1"/>
      <w:numFmt w:val="bullet"/>
      <w:lvlText w:val="•"/>
      <w:lvlJc w:val="left"/>
      <w:pPr>
        <w:ind w:left="4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924B3C">
      <w:start w:val="1"/>
      <w:numFmt w:val="bullet"/>
      <w:lvlText w:val="o"/>
      <w:lvlJc w:val="left"/>
      <w:pPr>
        <w:ind w:left="56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7921016">
      <w:start w:val="1"/>
      <w:numFmt w:val="bullet"/>
      <w:lvlText w:val="▪"/>
      <w:lvlJc w:val="left"/>
      <w:pPr>
        <w:ind w:left="64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19B25E0"/>
    <w:multiLevelType w:val="hybridMultilevel"/>
    <w:tmpl w:val="2FC8603E"/>
    <w:lvl w:ilvl="0" w:tplc="9A94BD76">
      <w:start w:val="1"/>
      <w:numFmt w:val="bullet"/>
      <w:lvlText w:val="•"/>
      <w:lvlJc w:val="left"/>
      <w:pPr>
        <w:ind w:left="5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1CEDB4">
      <w:start w:val="1"/>
      <w:numFmt w:val="bullet"/>
      <w:lvlText w:val="o"/>
      <w:lvlJc w:val="left"/>
      <w:pPr>
        <w:ind w:left="13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1721604">
      <w:start w:val="1"/>
      <w:numFmt w:val="bullet"/>
      <w:lvlText w:val="▪"/>
      <w:lvlJc w:val="left"/>
      <w:pPr>
        <w:ind w:left="20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BE6A954">
      <w:start w:val="1"/>
      <w:numFmt w:val="bullet"/>
      <w:lvlText w:val="•"/>
      <w:lvlJc w:val="left"/>
      <w:pPr>
        <w:ind w:left="27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408EEC2">
      <w:start w:val="1"/>
      <w:numFmt w:val="bullet"/>
      <w:lvlText w:val="o"/>
      <w:lvlJc w:val="left"/>
      <w:pPr>
        <w:ind w:left="34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99600E2">
      <w:start w:val="1"/>
      <w:numFmt w:val="bullet"/>
      <w:lvlText w:val="▪"/>
      <w:lvlJc w:val="left"/>
      <w:pPr>
        <w:ind w:left="41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A326C70">
      <w:start w:val="1"/>
      <w:numFmt w:val="bullet"/>
      <w:lvlText w:val="•"/>
      <w:lvlJc w:val="left"/>
      <w:pPr>
        <w:ind w:left="49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1E0DA6">
      <w:start w:val="1"/>
      <w:numFmt w:val="bullet"/>
      <w:lvlText w:val="o"/>
      <w:lvlJc w:val="left"/>
      <w:pPr>
        <w:ind w:left="56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B861632">
      <w:start w:val="1"/>
      <w:numFmt w:val="bullet"/>
      <w:lvlText w:val="▪"/>
      <w:lvlJc w:val="left"/>
      <w:pPr>
        <w:ind w:left="63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6683D5E"/>
    <w:multiLevelType w:val="hybridMultilevel"/>
    <w:tmpl w:val="8D8257DC"/>
    <w:lvl w:ilvl="0" w:tplc="9A94BD7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FD7A8C"/>
    <w:multiLevelType w:val="hybridMultilevel"/>
    <w:tmpl w:val="5B3C6F46"/>
    <w:lvl w:ilvl="0" w:tplc="6E620B84">
      <w:start w:val="1"/>
      <w:numFmt w:val="bullet"/>
      <w:lvlText w:val="•"/>
      <w:lvlJc w:val="left"/>
      <w:pPr>
        <w:ind w:left="5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3EA1C98">
      <w:start w:val="1"/>
      <w:numFmt w:val="bullet"/>
      <w:lvlText w:val="-"/>
      <w:lvlJc w:val="left"/>
      <w:pPr>
        <w:ind w:left="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C434C6">
      <w:start w:val="1"/>
      <w:numFmt w:val="bullet"/>
      <w:lvlText w:val="▪"/>
      <w:lvlJc w:val="left"/>
      <w:pPr>
        <w:ind w:left="1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44E27C">
      <w:start w:val="1"/>
      <w:numFmt w:val="bullet"/>
      <w:lvlText w:val="•"/>
      <w:lvlJc w:val="left"/>
      <w:pPr>
        <w:ind w:left="2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6A59EC">
      <w:start w:val="1"/>
      <w:numFmt w:val="bullet"/>
      <w:lvlText w:val="o"/>
      <w:lvlJc w:val="left"/>
      <w:pPr>
        <w:ind w:left="3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5C3CF2">
      <w:start w:val="1"/>
      <w:numFmt w:val="bullet"/>
      <w:lvlText w:val="▪"/>
      <w:lvlJc w:val="left"/>
      <w:pPr>
        <w:ind w:left="3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64C608">
      <w:start w:val="1"/>
      <w:numFmt w:val="bullet"/>
      <w:lvlText w:val="•"/>
      <w:lvlJc w:val="left"/>
      <w:pPr>
        <w:ind w:left="4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6C984A">
      <w:start w:val="1"/>
      <w:numFmt w:val="bullet"/>
      <w:lvlText w:val="o"/>
      <w:lvlJc w:val="left"/>
      <w:pPr>
        <w:ind w:left="5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CC6188">
      <w:start w:val="1"/>
      <w:numFmt w:val="bullet"/>
      <w:lvlText w:val="▪"/>
      <w:lvlJc w:val="left"/>
      <w:pPr>
        <w:ind w:left="6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140451"/>
    <w:multiLevelType w:val="hybridMultilevel"/>
    <w:tmpl w:val="930481AA"/>
    <w:lvl w:ilvl="0" w:tplc="E9480088">
      <w:start w:val="1"/>
      <w:numFmt w:val="bullet"/>
      <w:lvlText w:val="•"/>
      <w:lvlJc w:val="left"/>
      <w:pPr>
        <w:ind w:left="5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8C3E96">
      <w:start w:val="1"/>
      <w:numFmt w:val="bullet"/>
      <w:lvlText w:val="o"/>
      <w:lvlJc w:val="left"/>
      <w:pPr>
        <w:ind w:left="13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3AA4D66">
      <w:start w:val="1"/>
      <w:numFmt w:val="bullet"/>
      <w:lvlText w:val="▪"/>
      <w:lvlJc w:val="left"/>
      <w:pPr>
        <w:ind w:left="20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34A105C">
      <w:start w:val="1"/>
      <w:numFmt w:val="bullet"/>
      <w:lvlText w:val="•"/>
      <w:lvlJc w:val="left"/>
      <w:pPr>
        <w:ind w:left="28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A0AF24">
      <w:start w:val="1"/>
      <w:numFmt w:val="bullet"/>
      <w:lvlText w:val="o"/>
      <w:lvlJc w:val="left"/>
      <w:pPr>
        <w:ind w:left="35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14A30A8">
      <w:start w:val="1"/>
      <w:numFmt w:val="bullet"/>
      <w:lvlText w:val="▪"/>
      <w:lvlJc w:val="left"/>
      <w:pPr>
        <w:ind w:left="42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5BCEEF4">
      <w:start w:val="1"/>
      <w:numFmt w:val="bullet"/>
      <w:lvlText w:val="•"/>
      <w:lvlJc w:val="left"/>
      <w:pPr>
        <w:ind w:left="4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20EAF8">
      <w:start w:val="1"/>
      <w:numFmt w:val="bullet"/>
      <w:lvlText w:val="o"/>
      <w:lvlJc w:val="left"/>
      <w:pPr>
        <w:ind w:left="56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F3669D2">
      <w:start w:val="1"/>
      <w:numFmt w:val="bullet"/>
      <w:lvlText w:val="▪"/>
      <w:lvlJc w:val="left"/>
      <w:pPr>
        <w:ind w:left="64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637609547">
    <w:abstractNumId w:val="2"/>
  </w:num>
  <w:num w:numId="2" w16cid:durableId="1537963359">
    <w:abstractNumId w:val="5"/>
  </w:num>
  <w:num w:numId="3" w16cid:durableId="1897232754">
    <w:abstractNumId w:val="4"/>
  </w:num>
  <w:num w:numId="4" w16cid:durableId="205334731">
    <w:abstractNumId w:val="1"/>
  </w:num>
  <w:num w:numId="5" w16cid:durableId="784614184">
    <w:abstractNumId w:val="0"/>
  </w:num>
  <w:num w:numId="6" w16cid:durableId="153577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4A"/>
    <w:rsid w:val="00123477"/>
    <w:rsid w:val="001C13A2"/>
    <w:rsid w:val="00406603"/>
    <w:rsid w:val="0084424A"/>
    <w:rsid w:val="00930039"/>
    <w:rsid w:val="00C26BC3"/>
    <w:rsid w:val="00D26430"/>
    <w:rsid w:val="00FF21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67F1"/>
  <w15:docId w15:val="{074BF587-C468-4C00-8483-83A2E26B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2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2577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Pyc</dc:creator>
  <cp:keywords/>
  <cp:lastModifiedBy>Sylwia Obydz</cp:lastModifiedBy>
  <cp:revision>6</cp:revision>
  <dcterms:created xsi:type="dcterms:W3CDTF">2026-01-07T14:13:00Z</dcterms:created>
  <dcterms:modified xsi:type="dcterms:W3CDTF">2026-01-07T14:18:00Z</dcterms:modified>
</cp:coreProperties>
</file>